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0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0"/>
        <w:gridCol w:w="4174"/>
        <w:gridCol w:w="1037"/>
        <w:gridCol w:w="1050"/>
        <w:gridCol w:w="1050"/>
        <w:gridCol w:w="2734"/>
      </w:tblGrid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 w:rsidP="00BB452A">
            <w:pPr>
              <w:ind w:left="-426" w:firstLine="426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ДОГОВОР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НА ОТПУСК (ПОЛУЧЕНИЕ) ХОЛОДНОЙ ВОДЫ ИЗ СИСТЕМ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 w:rsidP="00BB452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ПОЖАРОТУШЕНИЯ (ПОЖАРНЫХ ГИДРАНТОВ) №</w:t>
            </w:r>
            <w:r w:rsidR="00BB452A">
              <w:rPr>
                <w:rFonts w:ascii="Times New Roman" w:hAnsi="Times New Roman"/>
                <w:b/>
                <w:sz w:val="22"/>
              </w:rPr>
              <w:t>_________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174" w:type="dxa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Псков</w:t>
            </w:r>
          </w:p>
        </w:tc>
        <w:tc>
          <w:tcPr>
            <w:tcW w:w="1037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784" w:type="dxa"/>
            <w:gridSpan w:val="2"/>
            <w:shd w:val="clear" w:color="FFFFFF" w:fill="auto"/>
            <w:vAlign w:val="bottom"/>
          </w:tcPr>
          <w:p w:rsidR="00AF3F1E" w:rsidRDefault="00BB452A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________________</w:t>
            </w:r>
            <w:r w:rsidR="008F3BC0">
              <w:rPr>
                <w:rFonts w:ascii="Times New Roman" w:hAnsi="Times New Roman"/>
                <w:b/>
                <w:sz w:val="22"/>
              </w:rPr>
              <w:t> г.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174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734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BB452A" w:rsidP="00BB452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</w:t>
            </w:r>
            <w:r w:rsidR="008F3BC0">
              <w:rPr>
                <w:rFonts w:ascii="Times New Roman" w:hAnsi="Times New Roman"/>
                <w:sz w:val="22"/>
              </w:rPr>
              <w:t>,  именуемое</w:t>
            </w:r>
            <w:r>
              <w:rPr>
                <w:rFonts w:ascii="Times New Roman" w:hAnsi="Times New Roman"/>
                <w:sz w:val="22"/>
              </w:rPr>
              <w:t xml:space="preserve"> в   дальнейшем   «Предприятие»</w:t>
            </w:r>
            <w:r w:rsidR="008F3BC0">
              <w:rPr>
                <w:rFonts w:ascii="Times New Roman" w:hAnsi="Times New Roman"/>
                <w:sz w:val="22"/>
              </w:rPr>
              <w:t xml:space="preserve">, в лице </w:t>
            </w:r>
            <w:r>
              <w:rPr>
                <w:rFonts w:ascii="Times New Roman" w:hAnsi="Times New Roman"/>
                <w:sz w:val="22"/>
              </w:rPr>
              <w:t>_____________________________________________________________</w:t>
            </w:r>
            <w:r w:rsidR="008F3BC0">
              <w:rPr>
                <w:rFonts w:ascii="Times New Roman" w:hAnsi="Times New Roman"/>
                <w:sz w:val="22"/>
              </w:rPr>
              <w:t xml:space="preserve">, действующего на основании </w:t>
            </w:r>
            <w:r>
              <w:rPr>
                <w:rFonts w:ascii="Times New Roman" w:hAnsi="Times New Roman"/>
                <w:sz w:val="22"/>
              </w:rPr>
              <w:t>_____________________________________________________</w:t>
            </w:r>
            <w:r w:rsidR="008F3BC0">
              <w:rPr>
                <w:rFonts w:ascii="Times New Roman" w:hAnsi="Times New Roman"/>
                <w:sz w:val="22"/>
              </w:rPr>
              <w:t xml:space="preserve">, с одной стороны, и </w:t>
            </w:r>
            <w:r>
              <w:rPr>
                <w:rFonts w:ascii="Times New Roman" w:hAnsi="Times New Roman"/>
                <w:sz w:val="22"/>
              </w:rPr>
              <w:t>_____________________________________________________</w:t>
            </w:r>
            <w:r w:rsidR="008F3BC0">
              <w:rPr>
                <w:rFonts w:ascii="Times New Roman" w:hAnsi="Times New Roman"/>
                <w:sz w:val="22"/>
              </w:rPr>
              <w:t xml:space="preserve">, именуемое в дальнейшем «Абонент», в лице ______________________________________________________________, действующего на основании  </w:t>
            </w:r>
            <w:r>
              <w:rPr>
                <w:rFonts w:ascii="Times New Roman" w:hAnsi="Times New Roman"/>
                <w:sz w:val="22"/>
              </w:rPr>
              <w:t>______________________</w:t>
            </w:r>
            <w:r w:rsidR="008F3BC0">
              <w:rPr>
                <w:rFonts w:ascii="Times New Roman" w:hAnsi="Times New Roman"/>
                <w:sz w:val="22"/>
              </w:rPr>
              <w:t>, с другой стороны, именуемые в  дальнейшем  «Сторонами»,  заключили  настоящий договор о нижеследующем: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1.Общие положения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Настоящий Договор заключается  в соответствии с Постановлением  Правительства РФ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Гражданским кодексом РФ и иными нормативно-правовыми актами РФ.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 Предмет договора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отпуск Абоненту холодной воды из систем пожаротушения (пожарных гидрантов), состав и свойства которой исходят из технических возможностей городских очистных сооружений водопровода и водопроводных сетей.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3.Обязанности сторон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 Предприятие обязуется: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3.1.1. Обеспечивать Абонента холодной водой из водопроводных сетей. Допускаются перерывы в водоснабжении при проведении на водопроводных сетях аварийных ремонтных и профилактических работ.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 Абонент обязуется: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3.2.1. Содержать в исправном состоянии системы и средства противопожарного водоснабжения, включая пожарные гидранты, задвижки, краны.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3.2.2. Соблюдать условия и режимы водопотребления.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3.2.3. Производить оплату Предприятию за полученную холодную воду из систем пожаротушения </w:t>
            </w:r>
            <w:r w:rsidR="00BB452A">
              <w:rPr>
                <w:rFonts w:ascii="Times New Roman" w:hAnsi="Times New Roman"/>
                <w:sz w:val="22"/>
              </w:rPr>
              <w:t>(пожарных гидрантов)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3.2.4.В срок до «10» числа месяца, следующего за месяцем, в котором было произведено потребление холодной воды из систем пожаротушения (пожарных гидрантов) предоставлять Предприятию сведения о потреблении в виде Акта  в МП г. Пскова «Горводоканал», путем направления официального письма по адресу: </w:t>
            </w:r>
            <w:proofErr w:type="spellStart"/>
            <w:r>
              <w:rPr>
                <w:rFonts w:ascii="Times New Roman" w:hAnsi="Times New Roman"/>
                <w:sz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</w:rPr>
              <w:t>.П</w:t>
            </w:r>
            <w:proofErr w:type="gramEnd"/>
            <w:r>
              <w:rPr>
                <w:rFonts w:ascii="Times New Roman" w:hAnsi="Times New Roman"/>
                <w:sz w:val="22"/>
              </w:rPr>
              <w:t>сков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ул.Советской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Армии, д.49-а, передачи данных на электронный почтовый ящик:. </w:t>
            </w:r>
            <w:proofErr w:type="spellStart"/>
            <w:r>
              <w:rPr>
                <w:rFonts w:ascii="Times New Roman" w:hAnsi="Times New Roman"/>
                <w:sz w:val="22"/>
              </w:rPr>
              <w:t>E-mail:office@vdkpskov.ru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   или по факсу: 79-20-41, 79-20-05.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3.2.5. В случае самовольно возведенных Абонентом устройств и сооружений для присоединения к системам городского водоснабжения и канализации, производить оплату работ, связанных с отключением и возможной ликвидацией этих устройств Предприятием, по дополнительным счетам выставляемым Абоненту Предприятием.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4.Порядок учета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 Учет количества полученной Абонентом холодной воды из систем пожаротушения (пожарных гидрантов) определяется в соответствии с данными, указанными в Акте, который составляется и подписывается после непосредственно проведенного водозабора холодной воды из систем пожаротушения (пожарных гидрантов) между представителем Абонента и Предприятия. Для вызова представителя  Предприятия  Абонент  за два дня до даты потребления холодной воды из систем пожаротушения (пожарных гидрантов)  направляет в адрес Предприятия письменное извещение, в котором указывает время и место водозабора.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5.Расчеты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5.1.     Тариф  на холодную (питьевую) воду устанавливается органами  исполнительной власти  Псковской области, осуществляющими государственно-властные полномочия исполнительно-</w:t>
            </w:r>
            <w:r>
              <w:rPr>
                <w:rFonts w:ascii="Times New Roman" w:hAnsi="Times New Roman"/>
                <w:sz w:val="22"/>
              </w:rPr>
              <w:lastRenderedPageBreak/>
              <w:t>распорядительного характера в области государственного регулирования цен (тарифов) на товары (услуги), а также в области энергетики, энергосбережения и повышения энергетической эффективности.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Об изменении тарифов Абонент извещается средствами массовой информации, по факсу, телефону, путем направления письма. Любое изменение тарифов в течение срока действия настоящего договора обязательно для сторон без оформления дополнительного соглашения.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 w:rsidP="004578B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Тариф на холодную (питьевую) воду, установленный на дату заключения настоящего договора, составляет согласно приказу Государственного комитета Псковской области по тарифам и энергетике </w:t>
            </w:r>
            <w:proofErr w:type="gramStart"/>
            <w:r>
              <w:rPr>
                <w:rFonts w:ascii="Times New Roman" w:hAnsi="Times New Roman"/>
                <w:sz w:val="22"/>
              </w:rPr>
              <w:t>от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r w:rsidR="004578BA">
              <w:rPr>
                <w:rFonts w:ascii="Times New Roman" w:hAnsi="Times New Roman"/>
                <w:sz w:val="22"/>
              </w:rPr>
              <w:t>_________________</w:t>
            </w:r>
            <w:r>
              <w:rPr>
                <w:rFonts w:ascii="Times New Roman" w:hAnsi="Times New Roman"/>
                <w:sz w:val="22"/>
              </w:rPr>
              <w:t xml:space="preserve">  «</w:t>
            </w:r>
            <w:proofErr w:type="gramStart"/>
            <w:r>
              <w:rPr>
                <w:rFonts w:ascii="Times New Roman" w:hAnsi="Times New Roman"/>
                <w:sz w:val="22"/>
              </w:rPr>
              <w:t>Об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утверждении производственных программ, установлении долгосрочных параметров регулирования и тарифов в сфере холодного водоснабжения, водоотведения.» в размере: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 w:rsidP="00BB452A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- за водоснабжение - </w:t>
            </w:r>
            <w:r w:rsidR="00BB452A">
              <w:rPr>
                <w:rFonts w:ascii="Times New Roman" w:hAnsi="Times New Roman"/>
                <w:b/>
                <w:sz w:val="22"/>
              </w:rPr>
              <w:t>___</w:t>
            </w:r>
            <w:r>
              <w:rPr>
                <w:rFonts w:ascii="Times New Roman" w:hAnsi="Times New Roman"/>
                <w:b/>
                <w:sz w:val="22"/>
              </w:rPr>
              <w:t xml:space="preserve"> руб. </w:t>
            </w:r>
            <w:r w:rsidR="00BB452A">
              <w:rPr>
                <w:rFonts w:ascii="Times New Roman" w:hAnsi="Times New Roman"/>
                <w:b/>
                <w:sz w:val="22"/>
              </w:rPr>
              <w:t>__</w:t>
            </w:r>
            <w:r>
              <w:rPr>
                <w:rFonts w:ascii="Times New Roman" w:hAnsi="Times New Roman"/>
                <w:b/>
                <w:sz w:val="22"/>
              </w:rPr>
              <w:t xml:space="preserve"> коп</w:t>
            </w:r>
            <w:proofErr w:type="gramStart"/>
            <w:r>
              <w:rPr>
                <w:rFonts w:ascii="Times New Roman" w:hAnsi="Times New Roman"/>
                <w:b/>
                <w:sz w:val="22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2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2"/>
              </w:rPr>
              <w:t>а 1 м3 отпущенной холодной воды, без учета НДС;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5.2 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порядке:</w:t>
            </w:r>
            <w:r>
              <w:rPr>
                <w:rFonts w:ascii="Times New Roman" w:hAnsi="Times New Roman"/>
                <w:sz w:val="22"/>
              </w:rPr>
              <w:br/>
              <w:t>50 процентов стоимости объема воды (сточных вод), потребленной (сброш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енных) абонентом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настоящем договоре), вносится до 18-го числа текущего месяца;</w:t>
            </w:r>
            <w:r>
              <w:rPr>
                <w:rFonts w:ascii="Times New Roman" w:hAnsi="Times New Roman"/>
                <w:sz w:val="22"/>
              </w:rPr>
              <w:br/>
              <w:t>В случае если объем фактического потребления холодной воды и (или) оказанной услуги водоотведения за истекший месяц, определенный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 (сточных вод), за который абонентом была произведена оплата, излишне уплаченная сумма засчитывается в счет последующего платежа за следующий месяц.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6.Срок действия договора, порядок изменения и расторжения договора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 w:rsidP="00BB452A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6.1 Срок действия договора устанавливается с   </w:t>
            </w:r>
            <w:r w:rsidR="00BB452A">
              <w:rPr>
                <w:rFonts w:ascii="Times New Roman" w:hAnsi="Times New Roman"/>
                <w:sz w:val="22"/>
              </w:rPr>
              <w:t xml:space="preserve">________________ г. и </w:t>
            </w:r>
            <w:r>
              <w:rPr>
                <w:rFonts w:ascii="Times New Roman" w:hAnsi="Times New Roman"/>
                <w:sz w:val="22"/>
              </w:rPr>
              <w:t>действует до _________</w:t>
            </w:r>
            <w:r w:rsidR="00BB452A">
              <w:rPr>
                <w:rFonts w:ascii="Times New Roman" w:hAnsi="Times New Roman"/>
                <w:sz w:val="22"/>
              </w:rPr>
              <w:t xml:space="preserve"> г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6.2 Расторжение настоящего договора не освобождает Абонента от обязанности произвести оплату Предприятию за полученную холодную воду из систем пожаротушения (пожарных гидрантов). В случае, если от одной из стороны за 30 дней до окончания срок действия договора не поступает заявка на расторжении договора, настоящий договор считается е</w:t>
            </w:r>
            <w:r w:rsidR="00BB452A">
              <w:rPr>
                <w:rFonts w:ascii="Times New Roman" w:hAnsi="Times New Roman"/>
                <w:sz w:val="22"/>
              </w:rPr>
              <w:t xml:space="preserve">жегодно пролонгированным на то </w:t>
            </w:r>
            <w:r>
              <w:rPr>
                <w:rFonts w:ascii="Times New Roman" w:hAnsi="Times New Roman"/>
                <w:sz w:val="22"/>
              </w:rPr>
              <w:t>тоже срок, на имеющихся условиях.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7.Ответственность сторон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7.1. В случае неисполнения или ненадлежащего исполнения обязательств по договору, сторона, нарушившая обязательство, обязана возместить причиненный этим нарушением реальный ущерб.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7.2.   Стороны не несут ответственность друг перед другом за ненадлежащее исполнение обязательств по договору в случаях возникновения обстоятельств непреодолимой силы, в </w:t>
            </w:r>
            <w:proofErr w:type="spellStart"/>
            <w:r>
              <w:rPr>
                <w:rFonts w:ascii="Times New Roman" w:hAnsi="Times New Roman"/>
                <w:sz w:val="22"/>
              </w:rPr>
              <w:t>т.ч</w:t>
            </w:r>
            <w:proofErr w:type="spellEnd"/>
            <w:r>
              <w:rPr>
                <w:rFonts w:ascii="Times New Roman" w:hAnsi="Times New Roman"/>
                <w:sz w:val="22"/>
              </w:rPr>
              <w:t>.: объявленной или фактической войны, гражданских волнений, диверсионных актов, эпидемий, блокады, землетрясений, пожаров и других стихийных бедствий.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8.Заключительные положения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8.1. Споры, возникшие между сторонами при заключении, изменении, расторжении и исполнении настоящего договора, разрешаются в Арбитражном суде Псковской области.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8.2. Ответственным лицом за водоснабжение и водоотведение объектов Абонента, сохранность </w:t>
            </w:r>
            <w:proofErr w:type="spellStart"/>
            <w:r>
              <w:rPr>
                <w:rFonts w:ascii="Times New Roman" w:hAnsi="Times New Roman"/>
                <w:sz w:val="22"/>
              </w:rPr>
              <w:t>водосчетчика</w:t>
            </w:r>
            <w:proofErr w:type="spellEnd"/>
            <w:r>
              <w:rPr>
                <w:rFonts w:ascii="Times New Roman" w:hAnsi="Times New Roman"/>
                <w:sz w:val="22"/>
              </w:rPr>
              <w:t>, пломб на нем и других водопроводных сооружениях и устройствах, водомерного узла является: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_________________________________________________________________________________</w:t>
            </w:r>
            <w:r>
              <w:rPr>
                <w:rFonts w:ascii="Times New Roman" w:hAnsi="Times New Roman"/>
                <w:szCs w:val="16"/>
              </w:rPr>
              <w:br/>
              <w:t>(должность; Ф.И.О.; контактный телефон)</w:t>
            </w:r>
            <w:r>
              <w:rPr>
                <w:rFonts w:ascii="Times New Roman" w:hAnsi="Times New Roman"/>
                <w:szCs w:val="16"/>
              </w:rPr>
              <w:br/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8.3. Настоящий договор составлен в двух подлинных экземплярах, имеющих одинаковую юридическую силу, один из которых находится у Предприятия, другой – у Абонента.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AF3F1E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AF3F1E" w:rsidRDefault="008F3BC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Юридические адреса и реквизиты сторон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174" w:type="dxa"/>
            <w:shd w:val="clear" w:color="FFFFFF" w:fill="auto"/>
            <w:vAlign w:val="bottom"/>
          </w:tcPr>
          <w:p w:rsidR="00AF3F1E" w:rsidRDefault="008F3BC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Предприятие</w:t>
            </w:r>
          </w:p>
        </w:tc>
        <w:tc>
          <w:tcPr>
            <w:tcW w:w="1037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784" w:type="dxa"/>
            <w:gridSpan w:val="2"/>
            <w:shd w:val="clear" w:color="FFFFFF" w:fill="auto"/>
          </w:tcPr>
          <w:p w:rsidR="00AF3F1E" w:rsidRDefault="008F3BC0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Абонент</w:t>
            </w:r>
          </w:p>
        </w:tc>
      </w:tr>
      <w:tr w:rsidR="00AF3F1E" w:rsidTr="00BB452A">
        <w:tc>
          <w:tcPr>
            <w:tcW w:w="20" w:type="dxa"/>
            <w:shd w:val="clear" w:color="FFFFFF" w:fill="auto"/>
            <w:vAlign w:val="bottom"/>
          </w:tcPr>
          <w:p w:rsidR="00AF3F1E" w:rsidRDefault="00AF3F1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45" w:type="dxa"/>
            <w:gridSpan w:val="5"/>
            <w:shd w:val="clear" w:color="FFFFFF" w:fill="auto"/>
            <w:vAlign w:val="bottom"/>
          </w:tcPr>
          <w:p w:rsidR="00BB452A" w:rsidRDefault="008F3B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</w:t>
            </w:r>
          </w:p>
          <w:p w:rsidR="00BB452A" w:rsidRDefault="00BB452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AF3F1E" w:rsidRDefault="008F3BC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М.П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М.П</w:t>
            </w:r>
            <w:proofErr w:type="spellEnd"/>
          </w:p>
        </w:tc>
      </w:tr>
    </w:tbl>
    <w:p w:rsidR="008F3BC0" w:rsidRDefault="008F3BC0"/>
    <w:sectPr w:rsidR="008F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3D" w:rsidRDefault="00F51E3D" w:rsidP="00BB452A">
      <w:pPr>
        <w:spacing w:after="0" w:line="240" w:lineRule="auto"/>
      </w:pPr>
      <w:r>
        <w:separator/>
      </w:r>
    </w:p>
  </w:endnote>
  <w:endnote w:type="continuationSeparator" w:id="0">
    <w:p w:rsidR="00F51E3D" w:rsidRDefault="00F51E3D" w:rsidP="00BB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3D" w:rsidRDefault="00F51E3D" w:rsidP="00BB452A">
      <w:pPr>
        <w:spacing w:after="0" w:line="240" w:lineRule="auto"/>
      </w:pPr>
      <w:r>
        <w:separator/>
      </w:r>
    </w:p>
  </w:footnote>
  <w:footnote w:type="continuationSeparator" w:id="0">
    <w:p w:rsidR="00F51E3D" w:rsidRDefault="00F51E3D" w:rsidP="00BB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F1E"/>
    <w:rsid w:val="004578BA"/>
    <w:rsid w:val="008F3BC0"/>
    <w:rsid w:val="00AF3F1E"/>
    <w:rsid w:val="00BB452A"/>
    <w:rsid w:val="00E8154A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52A"/>
  </w:style>
  <w:style w:type="paragraph" w:styleId="a5">
    <w:name w:val="footer"/>
    <w:basedOn w:val="a"/>
    <w:link w:val="a6"/>
    <w:uiPriority w:val="99"/>
    <w:unhideWhenUsed/>
    <w:rsid w:val="00BB4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Соловьева</cp:lastModifiedBy>
  <cp:revision>4</cp:revision>
  <dcterms:created xsi:type="dcterms:W3CDTF">2022-11-16T08:02:00Z</dcterms:created>
  <dcterms:modified xsi:type="dcterms:W3CDTF">2024-05-15T08:12:00Z</dcterms:modified>
</cp:coreProperties>
</file>